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1E1B345E" w14:textId="77777777" w:rsidR="006F0D61" w:rsidRDefault="006F0D61" w:rsidP="00F96246">
      <w:pPr>
        <w:jc w:val="center"/>
        <w:rPr>
          <w:rFonts w:ascii="Arial" w:hAnsi="Arial" w:cs="Arial"/>
          <w:b/>
          <w:color w:val="007DC5"/>
          <w:sz w:val="36"/>
        </w:rPr>
      </w:pPr>
    </w:p>
    <w:p w14:paraId="1231747C" w14:textId="2C99A9FE" w:rsidR="00C076B8" w:rsidRPr="006F0D61" w:rsidRDefault="006F0D61" w:rsidP="00F96246">
      <w:pPr>
        <w:jc w:val="center"/>
        <w:rPr>
          <w:rFonts w:ascii="Arial" w:hAnsi="Arial" w:cs="Arial"/>
          <w:b/>
          <w:color w:val="007DC5"/>
          <w:sz w:val="15"/>
        </w:rPr>
      </w:pPr>
      <w:r w:rsidRPr="006F0D61">
        <w:rPr>
          <w:rFonts w:ascii="Arial" w:hAnsi="Arial" w:cs="Arial"/>
          <w:b/>
          <w:color w:val="007DC5"/>
          <w:sz w:val="36"/>
        </w:rPr>
        <w:t xml:space="preserve">Topcon and Bentley strengthen </w:t>
      </w:r>
      <w:proofErr w:type="spellStart"/>
      <w:r w:rsidRPr="006F0D61">
        <w:rPr>
          <w:rFonts w:ascii="Arial" w:hAnsi="Arial" w:cs="Arial"/>
          <w:b/>
          <w:color w:val="007DC5"/>
          <w:sz w:val="36"/>
        </w:rPr>
        <w:t>constructioneering</w:t>
      </w:r>
      <w:proofErr w:type="spellEnd"/>
      <w:r w:rsidRPr="006F0D61">
        <w:rPr>
          <w:rFonts w:ascii="Arial" w:hAnsi="Arial" w:cs="Arial"/>
          <w:b/>
          <w:color w:val="007DC5"/>
          <w:sz w:val="36"/>
        </w:rPr>
        <w:t xml:space="preserve"> initiatives and programs</w:t>
      </w:r>
      <w:r>
        <w:rPr>
          <w:rFonts w:ascii="Arial" w:hAnsi="Arial" w:cs="Arial"/>
          <w:b/>
          <w:color w:val="007DC5"/>
          <w:sz w:val="36"/>
        </w:rPr>
        <w:br/>
      </w:r>
    </w:p>
    <w:p w14:paraId="54F6247C" w14:textId="6A41409D" w:rsidR="006F0D61" w:rsidRDefault="006F0D61" w:rsidP="00F96246">
      <w:pPr>
        <w:jc w:val="center"/>
        <w:rPr>
          <w:rFonts w:ascii="Arial" w:hAnsi="Arial" w:cs="Arial"/>
          <w:i/>
          <w:sz w:val="28"/>
        </w:rPr>
      </w:pPr>
      <w:proofErr w:type="spellStart"/>
      <w:r w:rsidRPr="006F0D61">
        <w:rPr>
          <w:rFonts w:ascii="Arial" w:hAnsi="Arial" w:cs="Arial"/>
          <w:i/>
          <w:sz w:val="28"/>
        </w:rPr>
        <w:t>Constructioneering</w:t>
      </w:r>
      <w:proofErr w:type="spellEnd"/>
      <w:r w:rsidRPr="006F0D61">
        <w:rPr>
          <w:rFonts w:ascii="Arial" w:hAnsi="Arial" w:cs="Arial"/>
          <w:i/>
          <w:sz w:val="28"/>
        </w:rPr>
        <w:t xml:space="preserve"> Academies expand insights, create change</w:t>
      </w:r>
    </w:p>
    <w:p w14:paraId="0E047AC5" w14:textId="77777777" w:rsidR="00E10A7B" w:rsidRPr="00E10A7B" w:rsidRDefault="00E10A7B" w:rsidP="00F96246">
      <w:pPr>
        <w:jc w:val="center"/>
        <w:rPr>
          <w:rFonts w:ascii="Arial" w:hAnsi="Arial" w:cs="Arial"/>
          <w:sz w:val="8"/>
        </w:rPr>
      </w:pPr>
    </w:p>
    <w:p w14:paraId="037387BF" w14:textId="77777777" w:rsidR="006F0D61" w:rsidRPr="006F0D61" w:rsidRDefault="006F0D61" w:rsidP="006F0D61">
      <w:pPr>
        <w:rPr>
          <w:rFonts w:ascii="Arial" w:hAnsi="Arial" w:cs="Arial"/>
          <w:i/>
          <w:szCs w:val="20"/>
        </w:rPr>
      </w:pPr>
    </w:p>
    <w:p w14:paraId="022B53C0" w14:textId="77777777" w:rsidR="006F0D61" w:rsidRPr="006F0D61" w:rsidRDefault="006F0D61" w:rsidP="006F0D61">
      <w:pPr>
        <w:rPr>
          <w:rFonts w:ascii="Arial" w:hAnsi="Arial" w:cs="Arial"/>
          <w:sz w:val="22"/>
          <w:szCs w:val="20"/>
        </w:rPr>
      </w:pPr>
      <w:r w:rsidRPr="006F0D61">
        <w:rPr>
          <w:rFonts w:ascii="Arial" w:hAnsi="Arial" w:cs="Arial"/>
          <w:i/>
          <w:sz w:val="22"/>
          <w:szCs w:val="20"/>
        </w:rPr>
        <w:t xml:space="preserve">LONDON – The Year in Infrastructure 2018 Conference – October 15, 2018 </w:t>
      </w:r>
      <w:r w:rsidRPr="006F0D61">
        <w:rPr>
          <w:rFonts w:ascii="Arial" w:hAnsi="Arial" w:cs="Arial"/>
          <w:i/>
          <w:sz w:val="22"/>
          <w:szCs w:val="20"/>
        </w:rPr>
        <w:softHyphen/>
        <w:t xml:space="preserve">– </w:t>
      </w:r>
      <w:hyperlink r:id="rId8" w:history="1">
        <w:r w:rsidRPr="006F0D61">
          <w:rPr>
            <w:rStyle w:val="Hyperlink"/>
            <w:rFonts w:ascii="Arial" w:hAnsi="Arial" w:cs="Arial"/>
            <w:sz w:val="22"/>
            <w:szCs w:val="20"/>
          </w:rPr>
          <w:t>Topcon Positioning Group</w:t>
        </w:r>
      </w:hyperlink>
      <w:r w:rsidRPr="006F0D61">
        <w:rPr>
          <w:rFonts w:ascii="Arial" w:hAnsi="Arial" w:cs="Arial"/>
          <w:sz w:val="22"/>
          <w:szCs w:val="20"/>
        </w:rPr>
        <w:t xml:space="preserve">, a world leader in positioning technology for the survey and construction industries, and </w:t>
      </w:r>
      <w:hyperlink r:id="rId9" w:history="1">
        <w:r w:rsidRPr="006F0D61">
          <w:rPr>
            <w:rStyle w:val="Hyperlink"/>
            <w:rFonts w:ascii="Arial" w:hAnsi="Arial" w:cs="Arial"/>
            <w:sz w:val="22"/>
            <w:szCs w:val="20"/>
          </w:rPr>
          <w:t>Bentley Systems</w:t>
        </w:r>
      </w:hyperlink>
      <w:r w:rsidRPr="006F0D61">
        <w:rPr>
          <w:rFonts w:ascii="Arial" w:hAnsi="Arial" w:cs="Arial"/>
          <w:sz w:val="22"/>
          <w:szCs w:val="20"/>
        </w:rPr>
        <w:t xml:space="preserve">, the leading global provider of comprehensive software solutions for advancing the design, construction, and operations of infrastructure, announce new developments in the </w:t>
      </w:r>
      <w:hyperlink r:id="rId10" w:history="1">
        <w:proofErr w:type="spellStart"/>
        <w:r w:rsidRPr="006F0D61">
          <w:rPr>
            <w:rStyle w:val="Hyperlink"/>
            <w:rFonts w:ascii="Arial" w:hAnsi="Arial" w:cs="Arial"/>
            <w:sz w:val="22"/>
            <w:szCs w:val="20"/>
          </w:rPr>
          <w:t>constructioneering</w:t>
        </w:r>
        <w:proofErr w:type="spellEnd"/>
      </w:hyperlink>
      <w:r w:rsidRPr="006F0D61">
        <w:rPr>
          <w:rFonts w:ascii="Arial" w:hAnsi="Arial" w:cs="Arial"/>
          <w:sz w:val="22"/>
          <w:szCs w:val="20"/>
        </w:rPr>
        <w:t xml:space="preserve"> workflow initiative. </w:t>
      </w:r>
    </w:p>
    <w:p w14:paraId="5338AA6A" w14:textId="77777777" w:rsidR="006F0D61" w:rsidRPr="006F0D61" w:rsidRDefault="006F0D61" w:rsidP="006F0D61">
      <w:pPr>
        <w:rPr>
          <w:rFonts w:ascii="Arial" w:hAnsi="Arial" w:cs="Arial"/>
          <w:sz w:val="22"/>
          <w:szCs w:val="20"/>
        </w:rPr>
      </w:pPr>
    </w:p>
    <w:p w14:paraId="3FEE9128" w14:textId="77777777" w:rsidR="006F0D61" w:rsidRPr="006F0D61" w:rsidRDefault="006F0D61" w:rsidP="006F0D61">
      <w:pPr>
        <w:rPr>
          <w:rFonts w:ascii="Arial" w:hAnsi="Arial" w:cs="Arial"/>
          <w:b/>
          <w:sz w:val="22"/>
          <w:szCs w:val="20"/>
        </w:rPr>
      </w:pPr>
      <w:proofErr w:type="spellStart"/>
      <w:r w:rsidRPr="006F0D61">
        <w:rPr>
          <w:rFonts w:ascii="Arial" w:hAnsi="Arial" w:cs="Arial"/>
          <w:b/>
          <w:sz w:val="22"/>
          <w:szCs w:val="20"/>
        </w:rPr>
        <w:t>Constructioneering</w:t>
      </w:r>
      <w:proofErr w:type="spellEnd"/>
      <w:r w:rsidRPr="006F0D61">
        <w:rPr>
          <w:rFonts w:ascii="Arial" w:hAnsi="Arial" w:cs="Arial"/>
          <w:b/>
          <w:sz w:val="22"/>
          <w:szCs w:val="20"/>
        </w:rPr>
        <w:t xml:space="preserve"> Academy </w:t>
      </w:r>
    </w:p>
    <w:p w14:paraId="3E43848C" w14:textId="66512994" w:rsidR="006F0D61" w:rsidRPr="006F0D61" w:rsidRDefault="006F0D61" w:rsidP="006F0D61">
      <w:pPr>
        <w:rPr>
          <w:rFonts w:ascii="Arial" w:hAnsi="Arial" w:cs="Arial"/>
          <w:sz w:val="22"/>
          <w:szCs w:val="20"/>
        </w:rPr>
      </w:pPr>
      <w:r w:rsidRPr="006F0D61">
        <w:rPr>
          <w:rFonts w:ascii="Arial" w:hAnsi="Arial" w:cs="Arial"/>
          <w:sz w:val="22"/>
          <w:szCs w:val="20"/>
        </w:rPr>
        <w:t xml:space="preserve">The </w:t>
      </w:r>
      <w:hyperlink r:id="rId11" w:history="1">
        <w:r w:rsidRPr="006F0D61">
          <w:rPr>
            <w:rStyle w:val="Hyperlink"/>
            <w:rFonts w:ascii="Arial" w:hAnsi="Arial" w:cs="Arial"/>
            <w:sz w:val="22"/>
            <w:szCs w:val="20"/>
          </w:rPr>
          <w:t>Bentley Year in Infrastructure Conference 2018</w:t>
        </w:r>
      </w:hyperlink>
      <w:r w:rsidRPr="006F0D61">
        <w:rPr>
          <w:rFonts w:ascii="Arial" w:hAnsi="Arial" w:cs="Arial"/>
          <w:sz w:val="22"/>
          <w:szCs w:val="20"/>
        </w:rPr>
        <w:t xml:space="preserve"> (YII) marks the first anniversary of the launch of the </w:t>
      </w:r>
      <w:hyperlink r:id="rId12" w:history="1">
        <w:proofErr w:type="spellStart"/>
        <w:r w:rsidRPr="006F0D61">
          <w:rPr>
            <w:rStyle w:val="Hyperlink"/>
            <w:rFonts w:ascii="Arial" w:hAnsi="Arial" w:cs="Arial"/>
            <w:sz w:val="22"/>
            <w:szCs w:val="20"/>
          </w:rPr>
          <w:t>Constructioneering</w:t>
        </w:r>
        <w:proofErr w:type="spellEnd"/>
        <w:r w:rsidRPr="006F0D61">
          <w:rPr>
            <w:rStyle w:val="Hyperlink"/>
            <w:rFonts w:ascii="Arial" w:hAnsi="Arial" w:cs="Arial"/>
            <w:sz w:val="22"/>
            <w:szCs w:val="20"/>
          </w:rPr>
          <w:t xml:space="preserve"> Academy</w:t>
        </w:r>
      </w:hyperlink>
      <w:r w:rsidRPr="006F0D61">
        <w:rPr>
          <w:rFonts w:ascii="Arial" w:hAnsi="Arial" w:cs="Arial"/>
          <w:sz w:val="22"/>
          <w:szCs w:val="20"/>
        </w:rPr>
        <w:t xml:space="preserve"> </w:t>
      </w:r>
      <w:r w:rsidR="00574A8B" w:rsidRPr="00574A8B">
        <w:rPr>
          <w:rFonts w:ascii="Arial" w:hAnsi="Arial" w:cs="Arial"/>
          <w:sz w:val="22"/>
          <w:szCs w:val="20"/>
        </w:rPr>
        <w:t>initiative</w:t>
      </w:r>
      <w:r w:rsidR="00574A8B">
        <w:rPr>
          <w:rFonts w:ascii="Arial" w:hAnsi="Arial" w:cs="Arial"/>
          <w:sz w:val="22"/>
          <w:szCs w:val="20"/>
        </w:rPr>
        <w:t xml:space="preserve"> </w:t>
      </w:r>
      <w:r w:rsidRPr="006F0D61">
        <w:rPr>
          <w:rFonts w:ascii="Arial" w:hAnsi="Arial" w:cs="Arial"/>
          <w:sz w:val="22"/>
          <w:szCs w:val="20"/>
        </w:rPr>
        <w:t xml:space="preserve">of Topcon and the Bentley Institute. The program has been held in multiple locations across North America and Australia throughout the first year and now expands into Europe with the first London-based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Academy, part of the YII. </w:t>
      </w:r>
    </w:p>
    <w:p w14:paraId="3F40C09B" w14:textId="77777777" w:rsidR="006F0D61" w:rsidRPr="006F0D61" w:rsidRDefault="006F0D61" w:rsidP="006F0D61">
      <w:pPr>
        <w:rPr>
          <w:rFonts w:ascii="Arial" w:hAnsi="Arial" w:cs="Arial"/>
          <w:sz w:val="22"/>
          <w:szCs w:val="20"/>
        </w:rPr>
      </w:pPr>
    </w:p>
    <w:p w14:paraId="3229DAAB" w14:textId="77777777" w:rsidR="006F0D61" w:rsidRPr="006F0D61" w:rsidRDefault="006F0D61" w:rsidP="006F0D61">
      <w:pPr>
        <w:rPr>
          <w:rFonts w:ascii="Arial" w:hAnsi="Arial" w:cs="Arial"/>
          <w:sz w:val="22"/>
          <w:szCs w:val="20"/>
        </w:rPr>
      </w:pPr>
      <w:r w:rsidRPr="006F0D61">
        <w:rPr>
          <w:rFonts w:ascii="Arial" w:hAnsi="Arial" w:cs="Arial"/>
          <w:sz w:val="22"/>
          <w:szCs w:val="20"/>
        </w:rPr>
        <w:t xml:space="preserve">“The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Academies are filled with a mix of professionals from companies, governmental agencies and organizations who are involved in putting important infrastructure projects into motion and seeing them through to completion. The uniqueness of the dialogue taking place among participants, representing more than 80 organizations in the first year, cannot be overstated,” said </w:t>
      </w:r>
      <w:proofErr w:type="spellStart"/>
      <w:r w:rsidRPr="006F0D61">
        <w:rPr>
          <w:rFonts w:ascii="Arial" w:hAnsi="Arial" w:cs="Arial"/>
          <w:sz w:val="22"/>
          <w:szCs w:val="20"/>
        </w:rPr>
        <w:t>Ewout</w:t>
      </w:r>
      <w:proofErr w:type="spellEnd"/>
      <w:r w:rsidRPr="006F0D61">
        <w:rPr>
          <w:rFonts w:ascii="Arial" w:hAnsi="Arial" w:cs="Arial"/>
          <w:sz w:val="22"/>
          <w:szCs w:val="20"/>
        </w:rPr>
        <w:t xml:space="preserve"> </w:t>
      </w:r>
      <w:proofErr w:type="spellStart"/>
      <w:r w:rsidRPr="006F0D61">
        <w:rPr>
          <w:rFonts w:ascii="Arial" w:hAnsi="Arial" w:cs="Arial"/>
          <w:sz w:val="22"/>
          <w:szCs w:val="20"/>
        </w:rPr>
        <w:t>Korpershoek</w:t>
      </w:r>
      <w:proofErr w:type="spellEnd"/>
      <w:r w:rsidRPr="006F0D61">
        <w:rPr>
          <w:rFonts w:ascii="Arial" w:hAnsi="Arial" w:cs="Arial"/>
          <w:sz w:val="22"/>
          <w:szCs w:val="20"/>
        </w:rPr>
        <w:t xml:space="preserve">, executive vice president of Topcon Positioning Group. “The program’s educational and collaborative atmosphere is creating awareness of potential productivity gaps that can be encountered on a project, and how those gaps can be filled, resulting in a paradigm shift in how work can be accomplished.” </w:t>
      </w:r>
    </w:p>
    <w:p w14:paraId="0AB69C3B" w14:textId="77777777" w:rsidR="006F0D61" w:rsidRPr="006F0D61" w:rsidRDefault="006F0D61" w:rsidP="006F0D61">
      <w:pPr>
        <w:rPr>
          <w:rFonts w:ascii="Arial" w:hAnsi="Arial" w:cs="Arial"/>
          <w:sz w:val="22"/>
          <w:szCs w:val="20"/>
        </w:rPr>
      </w:pPr>
    </w:p>
    <w:p w14:paraId="1A942933" w14:textId="146E1654" w:rsidR="006F0D61" w:rsidRPr="006F0D61" w:rsidRDefault="006F0D61" w:rsidP="006F0D61">
      <w:pPr>
        <w:rPr>
          <w:rFonts w:ascii="Arial" w:hAnsi="Arial" w:cs="Arial"/>
          <w:sz w:val="22"/>
          <w:szCs w:val="20"/>
        </w:rPr>
      </w:pPr>
      <w:r w:rsidRPr="006F0D61">
        <w:rPr>
          <w:rFonts w:ascii="Arial" w:hAnsi="Arial" w:cs="Arial"/>
          <w:sz w:val="22"/>
          <w:szCs w:val="20"/>
        </w:rPr>
        <w:t>Alan Lamont, Bentley Systems’ vice president for Digital Advancement Academies, said, “The active participation and feedback that we have</w:t>
      </w:r>
      <w:r w:rsidR="001F4674">
        <w:rPr>
          <w:rFonts w:ascii="Arial" w:hAnsi="Arial" w:cs="Arial"/>
          <w:sz w:val="22"/>
          <w:szCs w:val="20"/>
        </w:rPr>
        <w:t xml:space="preserve"> experienced during the various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Academy events have been very informative and encouraging. The level of interest and feedback demonstrate that there is a clear need for automated digital workflows between design and construction to help project teams be more efficient and avoid mistakes. We look forward to expanding the reach of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Academies to other geographic locations.”</w:t>
      </w:r>
    </w:p>
    <w:p w14:paraId="40FD51FC" w14:textId="77777777" w:rsidR="006F0D61" w:rsidRPr="006F0D61" w:rsidRDefault="006F0D61" w:rsidP="006F0D61">
      <w:pPr>
        <w:rPr>
          <w:rFonts w:ascii="Arial" w:hAnsi="Arial" w:cs="Arial"/>
          <w:sz w:val="22"/>
          <w:szCs w:val="20"/>
        </w:rPr>
      </w:pPr>
    </w:p>
    <w:p w14:paraId="513EFCD3" w14:textId="77777777" w:rsidR="006F0D61" w:rsidRPr="006F0D61" w:rsidRDefault="006F0D61" w:rsidP="006F0D61">
      <w:pPr>
        <w:rPr>
          <w:rFonts w:ascii="Arial" w:hAnsi="Arial" w:cs="Arial"/>
          <w:sz w:val="22"/>
          <w:szCs w:val="20"/>
        </w:rPr>
      </w:pPr>
      <w:r w:rsidRPr="006F0D61">
        <w:rPr>
          <w:rFonts w:ascii="Arial" w:hAnsi="Arial" w:cs="Arial"/>
          <w:sz w:val="22"/>
          <w:szCs w:val="20"/>
        </w:rPr>
        <w:t xml:space="preserve">“We are looking forward to building upon the success of the inaugural year of the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Academy,” said Ron </w:t>
      </w:r>
      <w:proofErr w:type="spellStart"/>
      <w:r w:rsidRPr="006F0D61">
        <w:rPr>
          <w:rFonts w:ascii="Arial" w:hAnsi="Arial" w:cs="Arial"/>
          <w:sz w:val="22"/>
          <w:szCs w:val="20"/>
        </w:rPr>
        <w:t>Oberlander</w:t>
      </w:r>
      <w:proofErr w:type="spellEnd"/>
      <w:r w:rsidRPr="006F0D61">
        <w:rPr>
          <w:rFonts w:ascii="Arial" w:hAnsi="Arial" w:cs="Arial"/>
          <w:sz w:val="22"/>
          <w:szCs w:val="20"/>
        </w:rPr>
        <w:t>, vice president of Global Professional Services for Topcon Positioning Group. “The industry needs these types of programs as a catalyst to drive digital automation adoption. A key part of the initiative is the interaction of field and office professionals from the ‘front lines’ and we are excited to provide this opportunity to professionals around the world.</w:t>
      </w:r>
    </w:p>
    <w:p w14:paraId="7876010B" w14:textId="77777777" w:rsidR="006F0D61" w:rsidRPr="006F0D61" w:rsidRDefault="006F0D61" w:rsidP="006F0D61">
      <w:pPr>
        <w:rPr>
          <w:rFonts w:ascii="Arial" w:hAnsi="Arial" w:cs="Arial"/>
          <w:sz w:val="22"/>
          <w:szCs w:val="20"/>
        </w:rPr>
      </w:pPr>
    </w:p>
    <w:p w14:paraId="6212ED64" w14:textId="758CE18A" w:rsidR="006F0D61" w:rsidRPr="006F0D61" w:rsidRDefault="006F0D61" w:rsidP="006F0D61">
      <w:pPr>
        <w:rPr>
          <w:rFonts w:ascii="Arial" w:hAnsi="Arial" w:cs="Arial"/>
          <w:sz w:val="22"/>
          <w:szCs w:val="20"/>
        </w:rPr>
      </w:pPr>
      <w:r w:rsidRPr="006F0D61">
        <w:rPr>
          <w:rFonts w:ascii="Arial" w:hAnsi="Arial" w:cs="Arial"/>
          <w:sz w:val="22"/>
          <w:szCs w:val="20"/>
        </w:rPr>
        <w:t xml:space="preserve">“We believe the </w:t>
      </w:r>
      <w:proofErr w:type="spellStart"/>
      <w:r w:rsidR="00574A8B" w:rsidRPr="00574A8B">
        <w:rPr>
          <w:rFonts w:ascii="Arial" w:hAnsi="Arial" w:cs="Arial"/>
          <w:sz w:val="22"/>
          <w:szCs w:val="20"/>
        </w:rPr>
        <w:t>Constructioneering</w:t>
      </w:r>
      <w:proofErr w:type="spellEnd"/>
      <w:r w:rsidR="00574A8B">
        <w:rPr>
          <w:rFonts w:ascii="Arial" w:hAnsi="Arial" w:cs="Arial"/>
          <w:sz w:val="22"/>
          <w:szCs w:val="20"/>
        </w:rPr>
        <w:t xml:space="preserve"> </w:t>
      </w:r>
      <w:r w:rsidRPr="006F0D61">
        <w:rPr>
          <w:rFonts w:ascii="Arial" w:hAnsi="Arial" w:cs="Arial"/>
          <w:sz w:val="22"/>
          <w:szCs w:val="20"/>
        </w:rPr>
        <w:t xml:space="preserve">Academies are truly fostering progress. For the industry to be successful in meeting future infrastructure demands, we </w:t>
      </w:r>
      <w:proofErr w:type="gramStart"/>
      <w:r w:rsidRPr="006F0D61">
        <w:rPr>
          <w:rFonts w:ascii="Arial" w:hAnsi="Arial" w:cs="Arial"/>
          <w:sz w:val="22"/>
          <w:szCs w:val="20"/>
        </w:rPr>
        <w:t>have to</w:t>
      </w:r>
      <w:proofErr w:type="gramEnd"/>
      <w:r w:rsidRPr="006F0D61">
        <w:rPr>
          <w:rFonts w:ascii="Arial" w:hAnsi="Arial" w:cs="Arial"/>
          <w:sz w:val="22"/>
          <w:szCs w:val="20"/>
        </w:rPr>
        <w:t xml:space="preserve"> change the mindsets and processes on how we approach construction. What Topcon and Bentley have initiated and will continue to evolve is an exciting journey to help shape that change,” </w:t>
      </w:r>
      <w:proofErr w:type="spellStart"/>
      <w:r w:rsidRPr="006F0D61">
        <w:rPr>
          <w:rFonts w:ascii="Arial" w:hAnsi="Arial" w:cs="Arial"/>
          <w:sz w:val="22"/>
          <w:szCs w:val="20"/>
        </w:rPr>
        <w:t>Oberlander</w:t>
      </w:r>
      <w:proofErr w:type="spellEnd"/>
      <w:r w:rsidRPr="006F0D61">
        <w:rPr>
          <w:rFonts w:ascii="Arial" w:hAnsi="Arial" w:cs="Arial"/>
          <w:sz w:val="22"/>
          <w:szCs w:val="20"/>
        </w:rPr>
        <w:t xml:space="preserve"> said.</w:t>
      </w:r>
    </w:p>
    <w:p w14:paraId="0B2A12D6" w14:textId="77777777" w:rsidR="006F0D61" w:rsidRPr="006F0D61" w:rsidRDefault="006F0D61" w:rsidP="006F0D61">
      <w:pPr>
        <w:rPr>
          <w:rFonts w:ascii="Arial" w:hAnsi="Arial" w:cs="Arial"/>
          <w:sz w:val="22"/>
          <w:szCs w:val="20"/>
        </w:rPr>
      </w:pPr>
    </w:p>
    <w:p w14:paraId="682158BB" w14:textId="77777777" w:rsidR="006F0D61" w:rsidRPr="006F0D61" w:rsidRDefault="006F0D61" w:rsidP="006F0D61">
      <w:pPr>
        <w:rPr>
          <w:rFonts w:ascii="Arial" w:hAnsi="Arial" w:cs="Arial"/>
          <w:sz w:val="22"/>
          <w:szCs w:val="20"/>
        </w:rPr>
      </w:pPr>
      <w:r w:rsidRPr="006F0D61">
        <w:rPr>
          <w:rFonts w:ascii="Arial" w:hAnsi="Arial" w:cs="Arial"/>
          <w:sz w:val="22"/>
          <w:szCs w:val="20"/>
        </w:rPr>
        <w:lastRenderedPageBreak/>
        <w:t xml:space="preserve">As additional dates and locations for the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Academy become available, they will be provided at </w:t>
      </w:r>
      <w:hyperlink r:id="rId13" w:history="1">
        <w:r w:rsidRPr="006F0D61">
          <w:rPr>
            <w:rStyle w:val="Hyperlink"/>
            <w:rFonts w:ascii="Arial" w:hAnsi="Arial" w:cs="Arial"/>
            <w:sz w:val="22"/>
            <w:szCs w:val="20"/>
          </w:rPr>
          <w:t>constructioneering.com/academy</w:t>
        </w:r>
      </w:hyperlink>
      <w:r w:rsidRPr="006F0D61">
        <w:rPr>
          <w:rFonts w:ascii="Arial" w:hAnsi="Arial" w:cs="Arial"/>
          <w:sz w:val="22"/>
          <w:szCs w:val="20"/>
        </w:rPr>
        <w:t>.</w:t>
      </w:r>
    </w:p>
    <w:p w14:paraId="6255F897" w14:textId="77777777" w:rsidR="006F0D61" w:rsidRPr="006F0D61" w:rsidRDefault="006F0D61" w:rsidP="006F0D61">
      <w:pPr>
        <w:rPr>
          <w:rFonts w:ascii="Arial" w:hAnsi="Arial" w:cs="Arial"/>
          <w:sz w:val="22"/>
          <w:szCs w:val="20"/>
        </w:rPr>
      </w:pPr>
    </w:p>
    <w:p w14:paraId="172E9FF6" w14:textId="77777777" w:rsidR="006F0D61" w:rsidRPr="006F0D61" w:rsidRDefault="006F0D61" w:rsidP="006F0D61">
      <w:pPr>
        <w:rPr>
          <w:rFonts w:ascii="Arial" w:hAnsi="Arial" w:cs="Arial"/>
          <w:b/>
          <w:sz w:val="22"/>
          <w:szCs w:val="20"/>
        </w:rPr>
      </w:pPr>
      <w:r w:rsidRPr="006F0D61">
        <w:rPr>
          <w:rFonts w:ascii="Arial" w:hAnsi="Arial" w:cs="Arial"/>
          <w:b/>
          <w:sz w:val="22"/>
          <w:szCs w:val="20"/>
        </w:rPr>
        <w:t>Integration agreement</w:t>
      </w:r>
    </w:p>
    <w:p w14:paraId="72BB5171" w14:textId="77777777" w:rsidR="006F0D61" w:rsidRPr="006F0D61" w:rsidRDefault="006F0D61" w:rsidP="006F0D61">
      <w:pPr>
        <w:rPr>
          <w:rFonts w:ascii="Arial" w:hAnsi="Arial" w:cs="Arial"/>
          <w:sz w:val="22"/>
          <w:szCs w:val="20"/>
        </w:rPr>
      </w:pPr>
      <w:r w:rsidRPr="006F0D61">
        <w:rPr>
          <w:rFonts w:ascii="Arial" w:hAnsi="Arial" w:cs="Arial"/>
          <w:sz w:val="22"/>
          <w:szCs w:val="20"/>
        </w:rPr>
        <w:t xml:space="preserve">As part of the ongoing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initiative, the companies have signed an agreement that will integrate the Topcon point cloud and 3D mesh service, </w:t>
      </w:r>
      <w:hyperlink r:id="rId14" w:history="1">
        <w:r w:rsidRPr="006F0D61">
          <w:rPr>
            <w:rStyle w:val="Hyperlink"/>
            <w:rFonts w:ascii="Arial" w:hAnsi="Arial" w:cs="Arial"/>
            <w:sz w:val="22"/>
            <w:szCs w:val="20"/>
          </w:rPr>
          <w:t>MAGNET Collage Web</w:t>
        </w:r>
      </w:hyperlink>
      <w:r w:rsidRPr="006F0D61">
        <w:rPr>
          <w:rFonts w:ascii="Arial" w:hAnsi="Arial" w:cs="Arial"/>
          <w:sz w:val="22"/>
          <w:szCs w:val="20"/>
        </w:rPr>
        <w:t xml:space="preserve">, with the </w:t>
      </w:r>
      <w:hyperlink r:id="rId15" w:history="1">
        <w:r w:rsidRPr="006F0D61">
          <w:rPr>
            <w:rStyle w:val="Hyperlink"/>
            <w:rFonts w:ascii="Arial" w:hAnsi="Arial" w:cs="Arial"/>
            <w:sz w:val="22"/>
            <w:szCs w:val="20"/>
          </w:rPr>
          <w:t xml:space="preserve">Bentley </w:t>
        </w:r>
        <w:proofErr w:type="spellStart"/>
        <w:r w:rsidRPr="006F0D61">
          <w:rPr>
            <w:rStyle w:val="Hyperlink"/>
            <w:rFonts w:ascii="Arial" w:hAnsi="Arial" w:cs="Arial"/>
            <w:sz w:val="22"/>
            <w:szCs w:val="20"/>
          </w:rPr>
          <w:t>ContextCapture</w:t>
        </w:r>
        <w:proofErr w:type="spellEnd"/>
        <w:r w:rsidRPr="006F0D61">
          <w:rPr>
            <w:rStyle w:val="Hyperlink"/>
            <w:rFonts w:ascii="Arial" w:hAnsi="Arial" w:cs="Arial"/>
            <w:sz w:val="22"/>
            <w:szCs w:val="20"/>
          </w:rPr>
          <w:t xml:space="preserve"> Cloud Processing Service</w:t>
        </w:r>
      </w:hyperlink>
      <w:r w:rsidRPr="006F0D61">
        <w:rPr>
          <w:rFonts w:ascii="Arial" w:hAnsi="Arial" w:cs="Arial"/>
          <w:sz w:val="22"/>
          <w:szCs w:val="20"/>
        </w:rPr>
        <w:t>. The Bentley cloud service enables operators to upload UAV imagery direct-to-web without the need for high-end hardware requirements or IT constraints. Topcon instrument, control systems and software users will benefit from an industry-leading, cloud-based photogrammetric engine for fast generation of 3D engineering-ready reality meshes and digital surface models.</w:t>
      </w:r>
    </w:p>
    <w:p w14:paraId="17305B48" w14:textId="77777777" w:rsidR="006F0D61" w:rsidRPr="006F0D61" w:rsidRDefault="006F0D61" w:rsidP="006F0D61">
      <w:pPr>
        <w:rPr>
          <w:rFonts w:ascii="Arial" w:hAnsi="Arial" w:cs="Arial"/>
          <w:sz w:val="22"/>
          <w:szCs w:val="20"/>
        </w:rPr>
      </w:pPr>
    </w:p>
    <w:p w14:paraId="352A9D1E" w14:textId="77777777" w:rsidR="006F0D61" w:rsidRPr="006F0D61" w:rsidRDefault="006F0D61" w:rsidP="006F0D61">
      <w:pPr>
        <w:rPr>
          <w:rFonts w:ascii="Arial" w:hAnsi="Arial" w:cs="Arial"/>
          <w:sz w:val="22"/>
          <w:szCs w:val="20"/>
        </w:rPr>
      </w:pPr>
      <w:r w:rsidRPr="006F0D61">
        <w:rPr>
          <w:rFonts w:ascii="Arial" w:hAnsi="Arial" w:cs="Arial"/>
          <w:sz w:val="22"/>
          <w:szCs w:val="20"/>
        </w:rPr>
        <w:t xml:space="preserve">Ted </w:t>
      </w:r>
      <w:proofErr w:type="spellStart"/>
      <w:r w:rsidRPr="006F0D61">
        <w:rPr>
          <w:rFonts w:ascii="Arial" w:hAnsi="Arial" w:cs="Arial"/>
          <w:sz w:val="22"/>
          <w:szCs w:val="20"/>
        </w:rPr>
        <w:t>Lamboo</w:t>
      </w:r>
      <w:proofErr w:type="spellEnd"/>
      <w:r w:rsidRPr="006F0D61">
        <w:rPr>
          <w:rFonts w:ascii="Arial" w:hAnsi="Arial" w:cs="Arial"/>
          <w:sz w:val="22"/>
          <w:szCs w:val="20"/>
        </w:rPr>
        <w:t xml:space="preserve">, senior vice president of Bentley’s strategic partnerships, said, “We are very pleased with Topcon’s expanded commitment, through MAGNET Collage Web integration, to Bentley’s </w:t>
      </w:r>
      <w:proofErr w:type="spellStart"/>
      <w:r w:rsidRPr="006F0D61">
        <w:rPr>
          <w:rFonts w:ascii="Arial" w:hAnsi="Arial" w:cs="Arial"/>
          <w:sz w:val="22"/>
          <w:szCs w:val="20"/>
        </w:rPr>
        <w:t>ContextCapture</w:t>
      </w:r>
      <w:proofErr w:type="spellEnd"/>
      <w:r w:rsidRPr="006F0D61">
        <w:rPr>
          <w:rFonts w:ascii="Arial" w:hAnsi="Arial" w:cs="Arial"/>
          <w:sz w:val="22"/>
          <w:szCs w:val="20"/>
        </w:rPr>
        <w:t xml:space="preserve"> reality modeling cloud services. Now, all of Topcon’s positioning technologies can help to continuously survey a site’s digital context, synchronizing project digital twins to make </w:t>
      </w:r>
      <w:proofErr w:type="spellStart"/>
      <w:r w:rsidRPr="006F0D61">
        <w:rPr>
          <w:rFonts w:ascii="Arial" w:hAnsi="Arial" w:cs="Arial"/>
          <w:sz w:val="22"/>
          <w:szCs w:val="20"/>
        </w:rPr>
        <w:t>constructioneering</w:t>
      </w:r>
      <w:proofErr w:type="spellEnd"/>
      <w:r w:rsidRPr="006F0D61">
        <w:rPr>
          <w:rFonts w:ascii="Arial" w:hAnsi="Arial" w:cs="Arial"/>
          <w:sz w:val="22"/>
          <w:szCs w:val="20"/>
        </w:rPr>
        <w:t xml:space="preserve"> even more compelling.” </w:t>
      </w:r>
    </w:p>
    <w:p w14:paraId="3EDA5812" w14:textId="77777777" w:rsidR="006F0D61" w:rsidRPr="006F0D61" w:rsidRDefault="006F0D61" w:rsidP="006F0D61">
      <w:pPr>
        <w:rPr>
          <w:rFonts w:ascii="Arial" w:hAnsi="Arial" w:cs="Arial"/>
          <w:sz w:val="22"/>
          <w:szCs w:val="20"/>
        </w:rPr>
      </w:pPr>
    </w:p>
    <w:p w14:paraId="59719204" w14:textId="77777777" w:rsidR="006F0D61" w:rsidRPr="006F0D61" w:rsidRDefault="006F0D61" w:rsidP="006F0D61">
      <w:pPr>
        <w:rPr>
          <w:rFonts w:ascii="Arial" w:hAnsi="Arial" w:cs="Arial"/>
          <w:sz w:val="22"/>
          <w:szCs w:val="20"/>
        </w:rPr>
      </w:pPr>
      <w:r w:rsidRPr="006F0D61">
        <w:rPr>
          <w:rFonts w:ascii="Arial" w:hAnsi="Arial" w:cs="Arial"/>
          <w:sz w:val="22"/>
          <w:szCs w:val="20"/>
        </w:rPr>
        <w:t xml:space="preserve">“The agreement for a web-based integrated workflow solution is an excellent example of the ongoing collaboration of Topcon and Bentley to simplify and speed up digital construction workflows,” </w:t>
      </w:r>
      <w:proofErr w:type="spellStart"/>
      <w:r w:rsidRPr="006F0D61">
        <w:rPr>
          <w:rFonts w:ascii="Arial" w:hAnsi="Arial" w:cs="Arial"/>
          <w:sz w:val="22"/>
          <w:szCs w:val="20"/>
        </w:rPr>
        <w:t>Korpershoek</w:t>
      </w:r>
      <w:proofErr w:type="spellEnd"/>
      <w:r w:rsidRPr="006F0D61">
        <w:rPr>
          <w:rFonts w:ascii="Arial" w:hAnsi="Arial" w:cs="Arial"/>
          <w:sz w:val="22"/>
          <w:szCs w:val="20"/>
        </w:rPr>
        <w:t xml:space="preserve"> said. “Through our partnership, we are continuously working together to create new solutions to improve survey, engineering, and construction processes.”</w:t>
      </w:r>
    </w:p>
    <w:p w14:paraId="54242483" w14:textId="1FA1D808" w:rsidR="00CC164E" w:rsidRPr="009C7717" w:rsidRDefault="00CC164E" w:rsidP="002078F0">
      <w:pPr>
        <w:rPr>
          <w:rFonts w:ascii="Arial" w:hAnsi="Arial" w:cs="Arial"/>
          <w:b/>
          <w:color w:val="808080" w:themeColor="background1" w:themeShade="80"/>
          <w:sz w:val="22"/>
          <w:szCs w:val="18"/>
        </w:rPr>
      </w:pPr>
    </w:p>
    <w:p w14:paraId="50EB10BD" w14:textId="64EDFE85" w:rsidR="00452AC9" w:rsidRDefault="003A1037" w:rsidP="00360FCE">
      <w:pPr>
        <w:rPr>
          <w:rFonts w:ascii="Arial" w:hAnsi="Arial" w:cs="Arial"/>
          <w:color w:val="808080" w:themeColor="background1" w:themeShade="80"/>
          <w:sz w:val="18"/>
          <w:szCs w:val="16"/>
        </w:rPr>
      </w:pPr>
      <w:r w:rsidRPr="002078F0">
        <w:rPr>
          <w:rFonts w:ascii="Arial" w:hAnsi="Arial" w:cs="Arial"/>
          <w:b/>
          <w:color w:val="808080" w:themeColor="background1" w:themeShade="80"/>
          <w:sz w:val="18"/>
          <w:szCs w:val="16"/>
        </w:rPr>
        <w:t xml:space="preserve">About Topcon Positioning Group </w:t>
      </w:r>
      <w:r w:rsidR="00F61E29" w:rsidRPr="002078F0">
        <w:rPr>
          <w:rFonts w:ascii="Arial" w:hAnsi="Arial" w:cs="Arial"/>
          <w:b/>
          <w:color w:val="808080" w:themeColor="background1" w:themeShade="80"/>
          <w:sz w:val="18"/>
          <w:szCs w:val="16"/>
        </w:rPr>
        <w:br/>
      </w:r>
      <w:r w:rsidR="00CC164E" w:rsidRPr="002078F0">
        <w:rPr>
          <w:rFonts w:ascii="Arial" w:hAnsi="Arial" w:cs="Arial"/>
          <w:color w:val="808080" w:themeColor="background1" w:themeShade="80"/>
          <w:sz w:val="18"/>
          <w:szCs w:val="16"/>
        </w:rPr>
        <w:t>Topcon Positioning Group is headquartered in Livermore, California, U.S. (</w:t>
      </w:r>
      <w:hyperlink r:id="rId16" w:history="1">
        <w:r w:rsidR="00CC164E" w:rsidRPr="002078F0">
          <w:rPr>
            <w:rStyle w:val="Hyperlink"/>
            <w:rFonts w:ascii="Arial" w:hAnsi="Arial" w:cs="Arial"/>
            <w:sz w:val="18"/>
            <w:szCs w:val="16"/>
          </w:rPr>
          <w:t>topconpositioning.com</w:t>
        </w:r>
      </w:hyperlink>
      <w:r w:rsidR="00CC164E" w:rsidRPr="002078F0">
        <w:rPr>
          <w:rFonts w:ascii="Arial" w:hAnsi="Arial" w:cs="Arial"/>
          <w:color w:val="808080" w:themeColor="background1" w:themeShade="80"/>
          <w:sz w:val="18"/>
          <w:szCs w:val="16"/>
        </w:rPr>
        <w:t xml:space="preserve">). Its European head office is in </w:t>
      </w:r>
      <w:proofErr w:type="spellStart"/>
      <w:r w:rsidR="00CC164E" w:rsidRPr="002078F0">
        <w:rPr>
          <w:rFonts w:ascii="Arial" w:hAnsi="Arial" w:cs="Arial"/>
          <w:color w:val="808080" w:themeColor="background1" w:themeShade="80"/>
          <w:sz w:val="18"/>
          <w:szCs w:val="16"/>
        </w:rPr>
        <w:t>Capelle</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a/d</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IJssel</w:t>
      </w:r>
      <w:proofErr w:type="spellEnd"/>
      <w:r w:rsidR="00CC164E" w:rsidRPr="002078F0">
        <w:rPr>
          <w:rFonts w:ascii="Arial" w:hAnsi="Arial" w:cs="Arial"/>
          <w:color w:val="808080" w:themeColor="background1" w:themeShade="80"/>
          <w:sz w:val="18"/>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7" w:history="1">
        <w:r w:rsidR="00CC164E" w:rsidRPr="002078F0">
          <w:rPr>
            <w:rStyle w:val="Hyperlink"/>
            <w:rFonts w:ascii="Arial" w:hAnsi="Arial" w:cs="Arial"/>
            <w:sz w:val="18"/>
            <w:szCs w:val="16"/>
          </w:rPr>
          <w:t>topcon.com</w:t>
        </w:r>
      </w:hyperlink>
      <w:r w:rsidR="00CC164E" w:rsidRPr="002078F0">
        <w:rPr>
          <w:rFonts w:ascii="Arial" w:hAnsi="Arial" w:cs="Arial"/>
          <w:color w:val="808080" w:themeColor="background1" w:themeShade="80"/>
          <w:sz w:val="18"/>
          <w:szCs w:val="16"/>
        </w:rPr>
        <w:t>), founded in 1932, is traded on the Tokyo Stock Exchange (7732). </w:t>
      </w:r>
    </w:p>
    <w:p w14:paraId="4280CBE2" w14:textId="77777777" w:rsidR="006F0D61" w:rsidRDefault="006F0D61" w:rsidP="006F0D61">
      <w:pPr>
        <w:rPr>
          <w:rFonts w:ascii="Arial" w:hAnsi="Arial" w:cs="Arial"/>
          <w:b/>
          <w:color w:val="808080" w:themeColor="background1" w:themeShade="80"/>
          <w:sz w:val="18"/>
          <w:szCs w:val="16"/>
        </w:rPr>
      </w:pPr>
    </w:p>
    <w:p w14:paraId="41730D72" w14:textId="77777777" w:rsidR="0099341A" w:rsidRPr="0099341A" w:rsidRDefault="006F0D61" w:rsidP="0099341A">
      <w:pPr>
        <w:rPr>
          <w:rFonts w:ascii="Arial" w:hAnsi="Arial" w:cs="Arial"/>
          <w:color w:val="808080" w:themeColor="background1" w:themeShade="80"/>
          <w:sz w:val="18"/>
          <w:szCs w:val="16"/>
        </w:rPr>
      </w:pPr>
      <w:r w:rsidRPr="006F0D61">
        <w:rPr>
          <w:rFonts w:ascii="Arial" w:hAnsi="Arial" w:cs="Arial"/>
          <w:b/>
          <w:color w:val="808080" w:themeColor="background1" w:themeShade="80"/>
          <w:sz w:val="18"/>
          <w:szCs w:val="16"/>
        </w:rPr>
        <w:t>About Bentley Systems</w:t>
      </w:r>
      <w:r w:rsidRPr="006F0D61">
        <w:rPr>
          <w:rFonts w:ascii="Arial" w:hAnsi="Arial" w:cs="Arial"/>
          <w:b/>
          <w:color w:val="808080" w:themeColor="background1" w:themeShade="80"/>
          <w:sz w:val="18"/>
          <w:szCs w:val="16"/>
        </w:rPr>
        <w:br/>
      </w:r>
      <w:r w:rsidR="0099341A" w:rsidRPr="0099341A">
        <w:rPr>
          <w:rFonts w:ascii="Arial" w:hAnsi="Arial" w:cs="Arial"/>
          <w:color w:val="808080" w:themeColor="background1" w:themeShade="80"/>
          <w:sz w:val="18"/>
          <w:szCs w:val="16"/>
        </w:rPr>
        <w:t xml:space="preserve">Bentley Systems is the leading global provider of software solutions to engineers, architects, geospatial professionals, constructors, and owner-operators for the design, construction, and operations of infrastructure. Bentley’s </w:t>
      </w:r>
      <w:proofErr w:type="spellStart"/>
      <w:r w:rsidR="0099341A" w:rsidRPr="0099341A">
        <w:rPr>
          <w:rFonts w:ascii="Arial" w:hAnsi="Arial" w:cs="Arial"/>
          <w:i/>
          <w:iCs/>
          <w:color w:val="808080" w:themeColor="background1" w:themeShade="80"/>
          <w:sz w:val="18"/>
          <w:szCs w:val="16"/>
        </w:rPr>
        <w:t>MicroStation</w:t>
      </w:r>
      <w:proofErr w:type="spellEnd"/>
      <w:r w:rsidR="0099341A" w:rsidRPr="0099341A">
        <w:rPr>
          <w:rFonts w:ascii="Arial" w:hAnsi="Arial" w:cs="Arial"/>
          <w:color w:val="808080" w:themeColor="background1" w:themeShade="80"/>
          <w:sz w:val="18"/>
          <w:szCs w:val="16"/>
        </w:rPr>
        <w:t>-based engineering and BIM applications, and its digital twin cloud services, advance the project delivery (</w:t>
      </w:r>
      <w:r w:rsidR="0099341A" w:rsidRPr="0099341A">
        <w:rPr>
          <w:rFonts w:ascii="Arial" w:hAnsi="Arial" w:cs="Arial"/>
          <w:i/>
          <w:iCs/>
          <w:color w:val="808080" w:themeColor="background1" w:themeShade="80"/>
          <w:sz w:val="18"/>
          <w:szCs w:val="16"/>
        </w:rPr>
        <w:t>ProjectWise</w:t>
      </w:r>
      <w:r w:rsidR="0099341A" w:rsidRPr="0099341A">
        <w:rPr>
          <w:rFonts w:ascii="Arial" w:hAnsi="Arial" w:cs="Arial"/>
          <w:color w:val="808080" w:themeColor="background1" w:themeShade="80"/>
          <w:sz w:val="18"/>
          <w:szCs w:val="16"/>
        </w:rPr>
        <w:t>) and the asset performance (</w:t>
      </w:r>
      <w:r w:rsidR="0099341A" w:rsidRPr="0099341A">
        <w:rPr>
          <w:rFonts w:ascii="Arial" w:hAnsi="Arial" w:cs="Arial"/>
          <w:i/>
          <w:iCs/>
          <w:color w:val="808080" w:themeColor="background1" w:themeShade="80"/>
          <w:sz w:val="18"/>
          <w:szCs w:val="16"/>
        </w:rPr>
        <w:t>AssetWise</w:t>
      </w:r>
      <w:r w:rsidR="0099341A" w:rsidRPr="0099341A">
        <w:rPr>
          <w:rFonts w:ascii="Arial" w:hAnsi="Arial" w:cs="Arial"/>
          <w:color w:val="808080" w:themeColor="background1" w:themeShade="80"/>
          <w:sz w:val="18"/>
          <w:szCs w:val="16"/>
        </w:rPr>
        <w:t>) of transportation and other public works, utilities, industrial and resources plants, and commercial and institutional facilities.</w:t>
      </w:r>
    </w:p>
    <w:p w14:paraId="75D79EA9" w14:textId="77777777" w:rsidR="0099341A" w:rsidRPr="0099341A" w:rsidRDefault="0099341A" w:rsidP="0099341A">
      <w:pPr>
        <w:rPr>
          <w:rFonts w:ascii="Arial" w:hAnsi="Arial" w:cs="Arial"/>
          <w:color w:val="808080" w:themeColor="background1" w:themeShade="80"/>
          <w:sz w:val="18"/>
          <w:szCs w:val="16"/>
        </w:rPr>
      </w:pPr>
      <w:r w:rsidRPr="0099341A">
        <w:rPr>
          <w:rFonts w:ascii="Arial" w:hAnsi="Arial" w:cs="Arial"/>
          <w:color w:val="808080" w:themeColor="background1" w:themeShade="80"/>
          <w:sz w:val="18"/>
          <w:szCs w:val="16"/>
        </w:rPr>
        <w:t> </w:t>
      </w:r>
    </w:p>
    <w:p w14:paraId="4441102D" w14:textId="747E0B73" w:rsidR="006F0D61" w:rsidRPr="006F0D61" w:rsidRDefault="0099341A" w:rsidP="006F0D61">
      <w:pPr>
        <w:rPr>
          <w:rFonts w:ascii="Arial" w:hAnsi="Arial" w:cs="Arial"/>
          <w:color w:val="808080" w:themeColor="background1" w:themeShade="80"/>
          <w:sz w:val="18"/>
          <w:szCs w:val="16"/>
        </w:rPr>
      </w:pPr>
      <w:r w:rsidRPr="0099341A">
        <w:rPr>
          <w:rFonts w:ascii="Arial" w:hAnsi="Arial" w:cs="Arial"/>
          <w:color w:val="808080" w:themeColor="background1" w:themeShade="80"/>
          <w:sz w:val="18"/>
          <w:szCs w:val="16"/>
        </w:rPr>
        <w:t xml:space="preserve">Bentley Systems employs more than 3,500 colleagues, generates annual revenues of $700 million in 170 countries, and has invested more than $1 billion in research, development, and acquisitions since 2012. From inception in 1984, the company has remained majority-owned by its five founding Bentley brothers. Bentley shares transact by invitation on the NASDAQ Private Market; strategic partner Siemens AG has accumulated a non-voting minority stake. </w:t>
      </w:r>
      <w:hyperlink r:id="rId18" w:history="1">
        <w:r w:rsidRPr="0099341A">
          <w:rPr>
            <w:rStyle w:val="Hyperlink"/>
            <w:rFonts w:ascii="Arial" w:hAnsi="Arial" w:cs="Arial"/>
            <w:sz w:val="18"/>
            <w:szCs w:val="16"/>
          </w:rPr>
          <w:t>www.bentley.com</w:t>
        </w:r>
      </w:hyperlink>
      <w:bookmarkStart w:id="0" w:name="_GoBack"/>
      <w:bookmarkEnd w:id="0"/>
    </w:p>
    <w:p w14:paraId="0F166831" w14:textId="77777777" w:rsidR="006F0D61" w:rsidRPr="006F0D61" w:rsidRDefault="006F0D61" w:rsidP="006F0D61">
      <w:pPr>
        <w:rPr>
          <w:rFonts w:ascii="Arial" w:hAnsi="Arial" w:cs="Arial"/>
          <w:color w:val="808080" w:themeColor="background1" w:themeShade="80"/>
          <w:sz w:val="18"/>
          <w:szCs w:val="16"/>
        </w:rPr>
      </w:pPr>
    </w:p>
    <w:p w14:paraId="69A7CB1B" w14:textId="77777777" w:rsidR="006F0D61" w:rsidRPr="006F0D61" w:rsidRDefault="006F0D61" w:rsidP="006F0D61">
      <w:pPr>
        <w:rPr>
          <w:rFonts w:ascii="Arial" w:hAnsi="Arial" w:cs="Arial"/>
          <w:b/>
          <w:color w:val="808080" w:themeColor="background1" w:themeShade="80"/>
          <w:sz w:val="18"/>
          <w:szCs w:val="16"/>
        </w:rPr>
      </w:pPr>
      <w:r w:rsidRPr="006F0D61">
        <w:rPr>
          <w:rFonts w:ascii="Arial" w:hAnsi="Arial" w:cs="Arial"/>
          <w:b/>
          <w:color w:val="808080" w:themeColor="background1" w:themeShade="80"/>
          <w:sz w:val="18"/>
          <w:szCs w:val="16"/>
        </w:rPr>
        <w:t xml:space="preserve">About </w:t>
      </w:r>
      <w:proofErr w:type="spellStart"/>
      <w:r w:rsidRPr="006F0D61">
        <w:rPr>
          <w:rFonts w:ascii="Arial" w:hAnsi="Arial" w:cs="Arial"/>
          <w:b/>
          <w:color w:val="808080" w:themeColor="background1" w:themeShade="80"/>
          <w:sz w:val="18"/>
          <w:szCs w:val="16"/>
        </w:rPr>
        <w:t>Constructioneering</w:t>
      </w:r>
      <w:proofErr w:type="spellEnd"/>
    </w:p>
    <w:p w14:paraId="6527CA8F" w14:textId="77777777" w:rsidR="006F0D61" w:rsidRPr="006F0D61" w:rsidRDefault="0081631E" w:rsidP="006F0D61">
      <w:pPr>
        <w:rPr>
          <w:rFonts w:ascii="Arial" w:hAnsi="Arial" w:cs="Arial"/>
          <w:color w:val="808080" w:themeColor="background1" w:themeShade="80"/>
          <w:sz w:val="18"/>
          <w:szCs w:val="16"/>
        </w:rPr>
      </w:pPr>
      <w:hyperlink r:id="rId19" w:history="1">
        <w:proofErr w:type="spellStart"/>
        <w:r w:rsidR="006F0D61" w:rsidRPr="006F0D61">
          <w:rPr>
            <w:rStyle w:val="Hyperlink"/>
            <w:rFonts w:ascii="Arial" w:hAnsi="Arial" w:cs="Arial"/>
            <w:sz w:val="18"/>
            <w:szCs w:val="16"/>
          </w:rPr>
          <w:t>Constructioneering</w:t>
        </w:r>
        <w:proofErr w:type="spellEnd"/>
      </w:hyperlink>
      <w:r w:rsidR="006F0D61" w:rsidRPr="00574A8B">
        <w:rPr>
          <w:rFonts w:ascii="Arial" w:hAnsi="Arial" w:cs="Arial"/>
          <w:color w:val="808080" w:themeColor="background1" w:themeShade="80"/>
          <w:sz w:val="18"/>
          <w:szCs w:val="16"/>
        </w:rPr>
        <w:t xml:space="preserve"> </w:t>
      </w:r>
      <w:r w:rsidR="006F0D61" w:rsidRPr="006F0D61">
        <w:rPr>
          <w:rFonts w:ascii="Arial" w:hAnsi="Arial" w:cs="Arial"/>
          <w:color w:val="808080" w:themeColor="background1" w:themeShade="80"/>
          <w:sz w:val="18"/>
          <w:szCs w:val="16"/>
        </w:rPr>
        <w:t>automates digital construction processes through surveying, engineering design, constructible model development, and as-built data collection within a connected data environment to improve construction execution and reduce project costs.</w:t>
      </w:r>
    </w:p>
    <w:p w14:paraId="4292C48A" w14:textId="77777777" w:rsidR="006F0D61" w:rsidRPr="006F0D61" w:rsidRDefault="006F0D61" w:rsidP="006F0D61">
      <w:pPr>
        <w:rPr>
          <w:rFonts w:ascii="Arial" w:hAnsi="Arial" w:cs="Arial"/>
          <w:color w:val="808080" w:themeColor="background1" w:themeShade="80"/>
          <w:sz w:val="18"/>
          <w:szCs w:val="16"/>
        </w:rPr>
      </w:pPr>
    </w:p>
    <w:p w14:paraId="138AADE3" w14:textId="77777777" w:rsidR="006F0D61" w:rsidRPr="006F0D61" w:rsidRDefault="006F0D61" w:rsidP="006F0D61">
      <w:pPr>
        <w:rPr>
          <w:rFonts w:ascii="Arial" w:hAnsi="Arial" w:cs="Arial"/>
          <w:b/>
          <w:color w:val="808080" w:themeColor="background1" w:themeShade="80"/>
          <w:sz w:val="18"/>
          <w:szCs w:val="16"/>
        </w:rPr>
      </w:pPr>
      <w:r w:rsidRPr="006F0D61">
        <w:rPr>
          <w:rFonts w:ascii="Arial" w:hAnsi="Arial" w:cs="Arial"/>
          <w:b/>
          <w:color w:val="808080" w:themeColor="background1" w:themeShade="80"/>
          <w:sz w:val="18"/>
          <w:szCs w:val="16"/>
        </w:rPr>
        <w:t xml:space="preserve">About </w:t>
      </w:r>
      <w:proofErr w:type="spellStart"/>
      <w:r w:rsidRPr="006F0D61">
        <w:rPr>
          <w:rFonts w:ascii="Arial" w:hAnsi="Arial" w:cs="Arial"/>
          <w:b/>
          <w:color w:val="808080" w:themeColor="background1" w:themeShade="80"/>
          <w:sz w:val="18"/>
          <w:szCs w:val="16"/>
        </w:rPr>
        <w:t>Constructioneering</w:t>
      </w:r>
      <w:proofErr w:type="spellEnd"/>
      <w:r w:rsidRPr="006F0D61">
        <w:rPr>
          <w:rFonts w:ascii="Arial" w:hAnsi="Arial" w:cs="Arial"/>
          <w:b/>
          <w:color w:val="808080" w:themeColor="background1" w:themeShade="80"/>
          <w:sz w:val="18"/>
          <w:szCs w:val="16"/>
        </w:rPr>
        <w:t xml:space="preserve"> Academy</w:t>
      </w:r>
    </w:p>
    <w:p w14:paraId="2038CC64" w14:textId="621A78D0" w:rsidR="006F0D61" w:rsidRDefault="006F0D61" w:rsidP="00360FCE">
      <w:pPr>
        <w:rPr>
          <w:rFonts w:ascii="Arial" w:hAnsi="Arial" w:cs="Arial"/>
          <w:color w:val="808080" w:themeColor="background1" w:themeShade="80"/>
          <w:sz w:val="18"/>
          <w:szCs w:val="16"/>
        </w:rPr>
      </w:pPr>
      <w:r w:rsidRPr="006F0D61">
        <w:rPr>
          <w:rFonts w:ascii="Arial" w:hAnsi="Arial" w:cs="Arial"/>
          <w:color w:val="808080" w:themeColor="background1" w:themeShade="80"/>
          <w:sz w:val="18"/>
          <w:szCs w:val="16"/>
        </w:rPr>
        <w:t xml:space="preserve">The </w:t>
      </w:r>
      <w:hyperlink r:id="rId20" w:history="1">
        <w:proofErr w:type="spellStart"/>
        <w:r w:rsidRPr="006F0D61">
          <w:rPr>
            <w:rStyle w:val="Hyperlink"/>
            <w:rFonts w:ascii="Arial" w:hAnsi="Arial" w:cs="Arial"/>
            <w:sz w:val="18"/>
            <w:szCs w:val="16"/>
          </w:rPr>
          <w:t>Constructioneering</w:t>
        </w:r>
        <w:proofErr w:type="spellEnd"/>
        <w:r w:rsidRPr="006F0D61">
          <w:rPr>
            <w:rStyle w:val="Hyperlink"/>
            <w:rFonts w:ascii="Arial" w:hAnsi="Arial" w:cs="Arial"/>
            <w:sz w:val="18"/>
            <w:szCs w:val="16"/>
          </w:rPr>
          <w:t xml:space="preserve"> Academy</w:t>
        </w:r>
      </w:hyperlink>
      <w:r w:rsidRPr="006F0D61">
        <w:rPr>
          <w:rFonts w:ascii="Arial" w:hAnsi="Arial" w:cs="Arial"/>
          <w:color w:val="808080" w:themeColor="background1" w:themeShade="80"/>
          <w:sz w:val="18"/>
          <w:szCs w:val="16"/>
        </w:rPr>
        <w:t xml:space="preserve"> is designed to educate civil design build professionals on the digital construction process. Attendees will learn how they can leverage mass data, digital cameras, design models, and automated machine control to win more work and execute their next project more efficiently.</w:t>
      </w:r>
    </w:p>
    <w:p w14:paraId="37C2B320" w14:textId="77777777" w:rsidR="002078F0" w:rsidRPr="002078F0" w:rsidRDefault="002078F0" w:rsidP="00360FCE">
      <w:pPr>
        <w:rPr>
          <w:rFonts w:ascii="Arial" w:hAnsi="Arial" w:cs="Arial"/>
          <w:color w:val="808080" w:themeColor="background1" w:themeShade="80"/>
          <w:sz w:val="18"/>
          <w:szCs w:val="16"/>
        </w:rPr>
      </w:pPr>
    </w:p>
    <w:p w14:paraId="435E9F5A" w14:textId="5E5B4930" w:rsidR="002078F0" w:rsidRDefault="00F61E29" w:rsidP="00F61E29">
      <w:pPr>
        <w:jc w:val="center"/>
        <w:rPr>
          <w:rFonts w:ascii="Arial" w:hAnsi="Arial" w:cs="Arial"/>
          <w:color w:val="808080" w:themeColor="background1" w:themeShade="80"/>
          <w:sz w:val="18"/>
          <w:szCs w:val="16"/>
        </w:rPr>
      </w:pPr>
      <w:r w:rsidRPr="002078F0">
        <w:rPr>
          <w:rFonts w:ascii="Arial" w:hAnsi="Arial" w:cs="Arial"/>
          <w:color w:val="808080" w:themeColor="background1" w:themeShade="80"/>
          <w:sz w:val="18"/>
          <w:szCs w:val="16"/>
        </w:rPr>
        <w:t># # #</w:t>
      </w:r>
    </w:p>
    <w:p w14:paraId="6F13AAE0" w14:textId="77777777" w:rsidR="001F4674" w:rsidRPr="002078F0" w:rsidRDefault="001F4674" w:rsidP="00F61E29">
      <w:pPr>
        <w:jc w:val="center"/>
        <w:rPr>
          <w:rFonts w:ascii="Arial" w:hAnsi="Arial" w:cs="Arial"/>
          <w:color w:val="808080" w:themeColor="background1" w:themeShade="80"/>
          <w:sz w:val="18"/>
          <w:szCs w:val="16"/>
        </w:rPr>
      </w:pPr>
    </w:p>
    <w:p w14:paraId="56D02AFB" w14:textId="77777777" w:rsidR="00F61E29" w:rsidRPr="002078F0" w:rsidRDefault="00F61E29" w:rsidP="00F61E29">
      <w:pPr>
        <w:outlineLvl w:val="0"/>
        <w:rPr>
          <w:rFonts w:ascii="Arial" w:hAnsi="Arial" w:cs="Arial"/>
          <w:b/>
          <w:color w:val="808080" w:themeColor="background1" w:themeShade="80"/>
          <w:sz w:val="18"/>
          <w:szCs w:val="16"/>
        </w:rPr>
      </w:pPr>
      <w:r w:rsidRPr="002078F0">
        <w:rPr>
          <w:rFonts w:ascii="Arial" w:hAnsi="Arial" w:cs="Arial"/>
          <w:b/>
          <w:color w:val="808080" w:themeColor="background1" w:themeShade="80"/>
          <w:sz w:val="18"/>
          <w:szCs w:val="16"/>
        </w:rPr>
        <w:t xml:space="preserve">Press Contact: </w:t>
      </w:r>
    </w:p>
    <w:p w14:paraId="0B0DC8C3" w14:textId="77777777" w:rsidR="00F61E29" w:rsidRPr="002078F0" w:rsidRDefault="00F61E29" w:rsidP="00F61E29">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Topcon Positioning Group</w:t>
      </w:r>
    </w:p>
    <w:p w14:paraId="2ADB91B2" w14:textId="77777777" w:rsidR="00F61E29" w:rsidRPr="002078F0" w:rsidRDefault="0081631E" w:rsidP="00F61E29">
      <w:pPr>
        <w:outlineLvl w:val="0"/>
        <w:rPr>
          <w:rFonts w:ascii="Arial" w:hAnsi="Arial" w:cs="Arial"/>
          <w:bCs/>
          <w:color w:val="808080" w:themeColor="background1" w:themeShade="80"/>
          <w:sz w:val="18"/>
          <w:szCs w:val="16"/>
          <w:lang w:val="it-IT"/>
        </w:rPr>
      </w:pPr>
      <w:hyperlink r:id="rId21" w:history="1">
        <w:r w:rsidR="00F61E29" w:rsidRPr="002078F0">
          <w:rPr>
            <w:rStyle w:val="Hyperlink"/>
            <w:rFonts w:ascii="Arial" w:hAnsi="Arial" w:cs="Arial"/>
            <w:bCs/>
            <w:color w:val="808080" w:themeColor="background1" w:themeShade="80"/>
            <w:sz w:val="18"/>
            <w:szCs w:val="16"/>
            <w:lang w:val="it-IT"/>
          </w:rPr>
          <w:t>CorpComm@topcon.com</w:t>
        </w:r>
      </w:hyperlink>
    </w:p>
    <w:p w14:paraId="22244F9C" w14:textId="5754A301" w:rsidR="00BE666D" w:rsidRPr="002078F0" w:rsidRDefault="00FD1C0E" w:rsidP="00FD1C0E">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Sta</w:t>
      </w:r>
      <w:r w:rsidR="00E54648" w:rsidRPr="002078F0">
        <w:rPr>
          <w:rFonts w:ascii="Arial" w:hAnsi="Arial" w:cs="Arial"/>
          <w:bCs/>
          <w:color w:val="808080" w:themeColor="background1" w:themeShade="80"/>
          <w:sz w:val="18"/>
          <w:szCs w:val="16"/>
        </w:rPr>
        <w:t xml:space="preserve">ci Fitzgerald, +1 925-245-8610 </w:t>
      </w:r>
    </w:p>
    <w:sectPr w:rsidR="00BE666D" w:rsidRPr="002078F0" w:rsidSect="009C7717">
      <w:headerReference w:type="first" r:id="rId22"/>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5990E" w14:textId="77777777" w:rsidR="0081631E" w:rsidRDefault="0081631E">
      <w:r>
        <w:separator/>
      </w:r>
    </w:p>
  </w:endnote>
  <w:endnote w:type="continuationSeparator" w:id="0">
    <w:p w14:paraId="427BA00D" w14:textId="77777777" w:rsidR="0081631E" w:rsidRDefault="0081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3D1A6" w14:textId="77777777" w:rsidR="0081631E" w:rsidRDefault="0081631E">
      <w:r>
        <w:separator/>
      </w:r>
    </w:p>
  </w:footnote>
  <w:footnote w:type="continuationSeparator" w:id="0">
    <w:p w14:paraId="00FF1285" w14:textId="77777777" w:rsidR="0081631E" w:rsidRDefault="008163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55FB"/>
    <w:rsid w:val="00195E40"/>
    <w:rsid w:val="001A276A"/>
    <w:rsid w:val="001A4E5B"/>
    <w:rsid w:val="001A5950"/>
    <w:rsid w:val="001B6BA0"/>
    <w:rsid w:val="001D47AE"/>
    <w:rsid w:val="001D5259"/>
    <w:rsid w:val="001D71E9"/>
    <w:rsid w:val="001E495F"/>
    <w:rsid w:val="001F4674"/>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74A8B"/>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97B78"/>
    <w:rsid w:val="006A0908"/>
    <w:rsid w:val="006B2A9A"/>
    <w:rsid w:val="006C6B2E"/>
    <w:rsid w:val="006D3CF8"/>
    <w:rsid w:val="006E05C2"/>
    <w:rsid w:val="006E2F31"/>
    <w:rsid w:val="006E5194"/>
    <w:rsid w:val="006F0D61"/>
    <w:rsid w:val="006F2B49"/>
    <w:rsid w:val="0071332E"/>
    <w:rsid w:val="00726BAA"/>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E23BF"/>
    <w:rsid w:val="007F4506"/>
    <w:rsid w:val="00810DE0"/>
    <w:rsid w:val="00813858"/>
    <w:rsid w:val="008141F4"/>
    <w:rsid w:val="0081631E"/>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341A"/>
    <w:rsid w:val="00995B68"/>
    <w:rsid w:val="009964DE"/>
    <w:rsid w:val="009C3261"/>
    <w:rsid w:val="009C7717"/>
    <w:rsid w:val="009E2FE3"/>
    <w:rsid w:val="00A06D66"/>
    <w:rsid w:val="00A276D5"/>
    <w:rsid w:val="00A34C2B"/>
    <w:rsid w:val="00A36D45"/>
    <w:rsid w:val="00A47E24"/>
    <w:rsid w:val="00A5279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20424"/>
    <w:rsid w:val="00B402B7"/>
    <w:rsid w:val="00B4058E"/>
    <w:rsid w:val="00B64457"/>
    <w:rsid w:val="00B84AD7"/>
    <w:rsid w:val="00B92736"/>
    <w:rsid w:val="00B92C56"/>
    <w:rsid w:val="00B92CFE"/>
    <w:rsid w:val="00BA6826"/>
    <w:rsid w:val="00BB19B5"/>
    <w:rsid w:val="00BB25D3"/>
    <w:rsid w:val="00BB4455"/>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73F"/>
    <w:rsid w:val="00C92C21"/>
    <w:rsid w:val="00C958B3"/>
    <w:rsid w:val="00CB791D"/>
    <w:rsid w:val="00CC164E"/>
    <w:rsid w:val="00CD3455"/>
    <w:rsid w:val="00CE188F"/>
    <w:rsid w:val="00CE7843"/>
    <w:rsid w:val="00CF403B"/>
    <w:rsid w:val="00CF7FC5"/>
    <w:rsid w:val="00D0574B"/>
    <w:rsid w:val="00D06CD0"/>
    <w:rsid w:val="00D21DEA"/>
    <w:rsid w:val="00D250E6"/>
    <w:rsid w:val="00D2655F"/>
    <w:rsid w:val="00D47414"/>
    <w:rsid w:val="00D55832"/>
    <w:rsid w:val="00D60B8D"/>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0A7B"/>
    <w:rsid w:val="00E16158"/>
    <w:rsid w:val="00E32B47"/>
    <w:rsid w:val="00E54648"/>
    <w:rsid w:val="00E74974"/>
    <w:rsid w:val="00E95EFF"/>
    <w:rsid w:val="00EA49B1"/>
    <w:rsid w:val="00EB1000"/>
    <w:rsid w:val="00EC3044"/>
    <w:rsid w:val="00EC60E2"/>
    <w:rsid w:val="00ED70D3"/>
    <w:rsid w:val="00EE1C16"/>
    <w:rsid w:val="00EE33D2"/>
    <w:rsid w:val="00F20CD6"/>
    <w:rsid w:val="00F25765"/>
    <w:rsid w:val="00F32E83"/>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7841">
      <w:bodyDiv w:val="1"/>
      <w:marLeft w:val="0"/>
      <w:marRight w:val="0"/>
      <w:marTop w:val="0"/>
      <w:marBottom w:val="0"/>
      <w:divBdr>
        <w:top w:val="none" w:sz="0" w:space="0" w:color="auto"/>
        <w:left w:val="none" w:sz="0" w:space="0" w:color="auto"/>
        <w:bottom w:val="none" w:sz="0" w:space="0" w:color="auto"/>
        <w:right w:val="none" w:sz="0" w:space="0" w:color="auto"/>
      </w:divBdr>
    </w:div>
    <w:div w:id="219636891">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6434833">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061055497">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1689406838">
      <w:bodyDiv w:val="1"/>
      <w:marLeft w:val="0"/>
      <w:marRight w:val="0"/>
      <w:marTop w:val="0"/>
      <w:marBottom w:val="0"/>
      <w:divBdr>
        <w:top w:val="none" w:sz="0" w:space="0" w:color="auto"/>
        <w:left w:val="none" w:sz="0" w:space="0" w:color="auto"/>
        <w:bottom w:val="none" w:sz="0" w:space="0" w:color="auto"/>
        <w:right w:val="none" w:sz="0" w:space="0" w:color="auto"/>
      </w:divBdr>
    </w:div>
    <w:div w:id="1972589757">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bentley.com/en" TargetMode="External"/><Relationship Id="rId20" Type="http://schemas.openxmlformats.org/officeDocument/2006/relationships/hyperlink" Target="http://constructioneering.com/academy" TargetMode="External"/><Relationship Id="rId21" Type="http://schemas.openxmlformats.org/officeDocument/2006/relationships/hyperlink" Target="mailto:CorpComm@topcon.com" TargetMode="External"/><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constructioneering.com/" TargetMode="External"/><Relationship Id="rId11" Type="http://schemas.openxmlformats.org/officeDocument/2006/relationships/hyperlink" Target="https://yii.bentley.com/" TargetMode="External"/><Relationship Id="rId12" Type="http://schemas.openxmlformats.org/officeDocument/2006/relationships/hyperlink" Target="http://constructioneering.com/academy" TargetMode="External"/><Relationship Id="rId13" Type="http://schemas.openxmlformats.org/officeDocument/2006/relationships/hyperlink" Target="http://constructioneering.com/academy" TargetMode="External"/><Relationship Id="rId14" Type="http://schemas.openxmlformats.org/officeDocument/2006/relationships/hyperlink" Target="https://www.topconpositioning.com/software-solutions/mass-data-mapping/magnet-collage-web" TargetMode="External"/><Relationship Id="rId15" Type="http://schemas.openxmlformats.org/officeDocument/2006/relationships/hyperlink" Target="https://www.bentley.com/en/products/product-line/reality-modeling-software/contextcapture-cloud-processing-service" TargetMode="External"/><Relationship Id="rId16" Type="http://schemas.openxmlformats.org/officeDocument/2006/relationships/hyperlink" Target="https://www.topconpositioning.com/" TargetMode="External"/><Relationship Id="rId17" Type="http://schemas.openxmlformats.org/officeDocument/2006/relationships/hyperlink" Target="http://global.topcon.com/" TargetMode="External"/><Relationship Id="rId18" Type="http://schemas.openxmlformats.org/officeDocument/2006/relationships/hyperlink" Target="https://urldefense.proofpoint.com/v2/url?u=http-3A__www.bentley.com&amp;d=DwMFAg&amp;c=-0XTxx5JZxtPyuSXdvX8qQ&amp;r=yjVkBzY6kij5ADxLR8flLIRLgHuv-2Q0sCIwzJbqN1U&amp;m=BNRFWjh_1Bpyw04qoCl0RQis0icdKuzveYyrfdmZ6Jw&amp;s=kMFJe4YTKb1gkjHKpA3rtzYUdL8zrEPQqgKFQTXJRNI&amp;e=" TargetMode="External"/><Relationship Id="rId19" Type="http://schemas.openxmlformats.org/officeDocument/2006/relationships/hyperlink" Target="http://constructioneering.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55F99-412B-B646-9363-C1B52B236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1191</Words>
  <Characters>6789</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7965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2018-10-11T13:44:00Z</dcterms:created>
  <dcterms:modified xsi:type="dcterms:W3CDTF">2018-10-11T17:13:00Z</dcterms:modified>
  <cp:category/>
</cp:coreProperties>
</file>